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188" w:rsidRPr="00613FB4" w:rsidRDefault="00192188" w:rsidP="00192188">
      <w:pPr>
        <w:jc w:val="center"/>
        <w:rPr>
          <w:b/>
          <w:sz w:val="22"/>
          <w:szCs w:val="22"/>
          <w:u w:val="double"/>
        </w:rPr>
      </w:pPr>
      <w:r w:rsidRPr="00613FB4">
        <w:rPr>
          <w:b/>
          <w:sz w:val="22"/>
          <w:szCs w:val="22"/>
          <w:u w:val="double"/>
        </w:rPr>
        <w:t>MATUL 512 Advocacy and the Urban Environment</w:t>
      </w:r>
    </w:p>
    <w:p w:rsidR="00192188" w:rsidRPr="007D411F" w:rsidRDefault="00192188" w:rsidP="00192188">
      <w:pPr>
        <w:ind w:left="1800" w:hanging="1080"/>
        <w:jc w:val="center"/>
        <w:rPr>
          <w:b/>
          <w:sz w:val="22"/>
          <w:szCs w:val="22"/>
          <w:u w:val="double"/>
        </w:rPr>
      </w:pPr>
      <w:r w:rsidRPr="007D411F">
        <w:rPr>
          <w:b/>
          <w:sz w:val="22"/>
          <w:szCs w:val="22"/>
        </w:rPr>
        <w:t>(6credits)</w:t>
      </w:r>
    </w:p>
    <w:p w:rsidR="00192188" w:rsidRPr="00613FB4" w:rsidRDefault="00192188" w:rsidP="00192188">
      <w:pPr>
        <w:rPr>
          <w:sz w:val="22"/>
          <w:szCs w:val="22"/>
        </w:rPr>
      </w:pPr>
    </w:p>
    <w:p w:rsidR="00192188" w:rsidRPr="00613FB4" w:rsidRDefault="00192188" w:rsidP="00192188">
      <w:pPr>
        <w:ind w:left="720"/>
        <w:rPr>
          <w:b/>
          <w:sz w:val="22"/>
          <w:szCs w:val="22"/>
        </w:rPr>
      </w:pPr>
      <w:r w:rsidRPr="00613FB4">
        <w:rPr>
          <w:b/>
          <w:sz w:val="22"/>
          <w:szCs w:val="22"/>
        </w:rPr>
        <w:t>Course purpose</w:t>
      </w:r>
    </w:p>
    <w:p w:rsidR="00192188" w:rsidRPr="00613FB4" w:rsidRDefault="00192188" w:rsidP="00192188">
      <w:pPr>
        <w:ind w:left="720"/>
        <w:rPr>
          <w:color w:val="000000"/>
          <w:sz w:val="22"/>
          <w:szCs w:val="22"/>
        </w:rPr>
      </w:pPr>
      <w:r w:rsidRPr="00613FB4">
        <w:rPr>
          <w:color w:val="000000"/>
          <w:sz w:val="22"/>
          <w:szCs w:val="22"/>
        </w:rPr>
        <w:t xml:space="preserve">The course aims to give students an understanding of the nature and role of advocacy in a marginalised urban environment and to and its relationship to the prophetic tradition within scripture. Through engagement with the course it is intended that students will gain necessary skills to promote the transformation of </w:t>
      </w:r>
      <w:r>
        <w:rPr>
          <w:color w:val="000000"/>
          <w:sz w:val="22"/>
          <w:szCs w:val="22"/>
        </w:rPr>
        <w:t xml:space="preserve">urban </w:t>
      </w:r>
      <w:r w:rsidRPr="00613FB4">
        <w:rPr>
          <w:color w:val="000000"/>
          <w:sz w:val="22"/>
          <w:szCs w:val="22"/>
        </w:rPr>
        <w:t>communities through advocacy initiatives. The course will involve the students in identifying a specific advocacy issue which, working with a</w:t>
      </w:r>
      <w:r>
        <w:rPr>
          <w:color w:val="000000"/>
          <w:sz w:val="22"/>
          <w:szCs w:val="22"/>
        </w:rPr>
        <w:t>n urban</w:t>
      </w:r>
      <w:r w:rsidRPr="00613FB4">
        <w:rPr>
          <w:color w:val="000000"/>
          <w:sz w:val="22"/>
          <w:szCs w:val="22"/>
        </w:rPr>
        <w:t xml:space="preserve"> community organisation, they will participate in developing and designing a strategic advocacy response. </w:t>
      </w:r>
    </w:p>
    <w:p w:rsidR="00192188" w:rsidRPr="00613FB4" w:rsidRDefault="00192188" w:rsidP="00192188">
      <w:pPr>
        <w:ind w:left="720"/>
        <w:rPr>
          <w:color w:val="000000"/>
          <w:sz w:val="22"/>
          <w:szCs w:val="22"/>
        </w:rPr>
      </w:pPr>
    </w:p>
    <w:p w:rsidR="00192188" w:rsidRDefault="00192188" w:rsidP="00192188">
      <w:pPr>
        <w:ind w:left="720"/>
        <w:rPr>
          <w:color w:val="000000"/>
          <w:sz w:val="22"/>
          <w:szCs w:val="22"/>
        </w:rPr>
      </w:pPr>
      <w:r w:rsidRPr="00613FB4">
        <w:rPr>
          <w:b/>
          <w:color w:val="000000"/>
          <w:sz w:val="22"/>
          <w:szCs w:val="22"/>
        </w:rPr>
        <w:t>Course outcomes</w:t>
      </w:r>
      <w:r w:rsidRPr="00613FB4">
        <w:rPr>
          <w:color w:val="000000"/>
          <w:sz w:val="22"/>
          <w:szCs w:val="22"/>
        </w:rPr>
        <w:t xml:space="preserve">: </w:t>
      </w:r>
    </w:p>
    <w:p w:rsidR="00192188" w:rsidRPr="00613FB4" w:rsidRDefault="00192188" w:rsidP="00192188">
      <w:pPr>
        <w:ind w:left="720"/>
        <w:rPr>
          <w:color w:val="000000"/>
          <w:sz w:val="22"/>
          <w:szCs w:val="22"/>
        </w:rPr>
      </w:pPr>
      <w:r w:rsidRPr="00613FB4">
        <w:rPr>
          <w:color w:val="000000"/>
          <w:sz w:val="22"/>
          <w:szCs w:val="22"/>
        </w:rPr>
        <w:t>By the end of the course students will be able to:</w:t>
      </w:r>
    </w:p>
    <w:p w:rsidR="00192188" w:rsidRPr="00923708" w:rsidRDefault="00192188" w:rsidP="00192188">
      <w:pPr>
        <w:spacing w:before="120"/>
        <w:ind w:left="720"/>
        <w:rPr>
          <w:b/>
          <w:i/>
          <w:color w:val="000000"/>
          <w:sz w:val="22"/>
          <w:szCs w:val="22"/>
        </w:rPr>
      </w:pPr>
      <w:r w:rsidRPr="00923708">
        <w:rPr>
          <w:b/>
          <w:i/>
          <w:color w:val="000000"/>
          <w:sz w:val="22"/>
          <w:szCs w:val="22"/>
        </w:rPr>
        <w:t xml:space="preserve">Cognitive </w:t>
      </w:r>
    </w:p>
    <w:p w:rsidR="00192188" w:rsidRPr="00613FB4" w:rsidRDefault="00192188" w:rsidP="00192188">
      <w:pPr>
        <w:numPr>
          <w:ilvl w:val="0"/>
          <w:numId w:val="1"/>
        </w:numPr>
        <w:rPr>
          <w:color w:val="000000"/>
          <w:sz w:val="22"/>
          <w:szCs w:val="22"/>
        </w:rPr>
      </w:pPr>
      <w:r w:rsidRPr="00613FB4">
        <w:rPr>
          <w:color w:val="000000"/>
          <w:sz w:val="22"/>
          <w:szCs w:val="22"/>
        </w:rPr>
        <w:t>Demonstrate an understanding of the relationship between advocacy and prophetic traditions within scripture</w:t>
      </w:r>
    </w:p>
    <w:p w:rsidR="00192188" w:rsidRPr="00613FB4" w:rsidRDefault="00192188" w:rsidP="00192188">
      <w:pPr>
        <w:numPr>
          <w:ilvl w:val="0"/>
          <w:numId w:val="1"/>
        </w:numPr>
        <w:rPr>
          <w:color w:val="000000"/>
          <w:sz w:val="22"/>
          <w:szCs w:val="22"/>
        </w:rPr>
      </w:pPr>
      <w:r w:rsidRPr="00613FB4">
        <w:rPr>
          <w:color w:val="000000"/>
          <w:sz w:val="22"/>
          <w:szCs w:val="22"/>
        </w:rPr>
        <w:t>Explain the principles and distinctive nature of advocacy as an intervention for social transformation</w:t>
      </w:r>
      <w:r>
        <w:rPr>
          <w:color w:val="000000"/>
          <w:sz w:val="22"/>
          <w:szCs w:val="22"/>
        </w:rPr>
        <w:t xml:space="preserve"> in the city</w:t>
      </w:r>
    </w:p>
    <w:p w:rsidR="00192188" w:rsidRPr="00613FB4" w:rsidRDefault="00192188" w:rsidP="00192188">
      <w:pPr>
        <w:numPr>
          <w:ilvl w:val="0"/>
          <w:numId w:val="1"/>
        </w:numPr>
        <w:rPr>
          <w:color w:val="000000"/>
          <w:sz w:val="22"/>
          <w:szCs w:val="22"/>
        </w:rPr>
      </w:pPr>
      <w:r w:rsidRPr="00613FB4">
        <w:rPr>
          <w:color w:val="000000"/>
          <w:sz w:val="22"/>
          <w:szCs w:val="22"/>
        </w:rPr>
        <w:t>Demonstrate a depth of knowledge and understanding of a specific advocacy issue (i.e. child rights, land rights, employment rights, access to civic services) which affect slum dwellers in a specific community.</w:t>
      </w:r>
    </w:p>
    <w:p w:rsidR="00192188" w:rsidRPr="00923708" w:rsidRDefault="00192188" w:rsidP="00192188">
      <w:pPr>
        <w:spacing w:before="120"/>
        <w:ind w:left="720"/>
        <w:rPr>
          <w:b/>
          <w:i/>
          <w:color w:val="000000"/>
          <w:sz w:val="22"/>
          <w:szCs w:val="22"/>
        </w:rPr>
      </w:pPr>
      <w:r w:rsidRPr="00923708">
        <w:rPr>
          <w:b/>
          <w:i/>
          <w:color w:val="000000"/>
          <w:sz w:val="22"/>
          <w:szCs w:val="22"/>
        </w:rPr>
        <w:t>Affective</w:t>
      </w:r>
    </w:p>
    <w:p w:rsidR="00192188" w:rsidRPr="00613FB4" w:rsidRDefault="00192188" w:rsidP="00192188">
      <w:pPr>
        <w:numPr>
          <w:ilvl w:val="0"/>
          <w:numId w:val="1"/>
        </w:numPr>
        <w:rPr>
          <w:color w:val="000000"/>
          <w:sz w:val="22"/>
          <w:szCs w:val="22"/>
        </w:rPr>
      </w:pPr>
      <w:r w:rsidRPr="00613FB4">
        <w:rPr>
          <w:color w:val="000000"/>
          <w:sz w:val="22"/>
          <w:szCs w:val="22"/>
        </w:rPr>
        <w:t>Demonstrate an active concern in respect of the rights of slum dwellers.</w:t>
      </w:r>
    </w:p>
    <w:p w:rsidR="00192188" w:rsidRPr="00613FB4" w:rsidRDefault="00192188" w:rsidP="00192188">
      <w:pPr>
        <w:numPr>
          <w:ilvl w:val="0"/>
          <w:numId w:val="1"/>
        </w:numPr>
        <w:rPr>
          <w:color w:val="000000"/>
          <w:sz w:val="22"/>
          <w:szCs w:val="22"/>
        </w:rPr>
      </w:pPr>
      <w:r w:rsidRPr="00613FB4">
        <w:rPr>
          <w:color w:val="000000"/>
          <w:sz w:val="22"/>
          <w:szCs w:val="22"/>
        </w:rPr>
        <w:t>Demonstrate self-awareness in respect of the way they exercise power in a community</w:t>
      </w:r>
    </w:p>
    <w:p w:rsidR="00192188" w:rsidRPr="00923708" w:rsidRDefault="00192188" w:rsidP="00192188">
      <w:pPr>
        <w:spacing w:before="120"/>
        <w:ind w:left="720"/>
        <w:rPr>
          <w:b/>
          <w:i/>
          <w:color w:val="000000"/>
          <w:sz w:val="22"/>
          <w:szCs w:val="22"/>
        </w:rPr>
      </w:pPr>
      <w:r w:rsidRPr="00923708">
        <w:rPr>
          <w:b/>
          <w:i/>
          <w:color w:val="000000"/>
          <w:sz w:val="22"/>
          <w:szCs w:val="22"/>
        </w:rPr>
        <w:t>Skills</w:t>
      </w:r>
    </w:p>
    <w:p w:rsidR="00192188" w:rsidRPr="00613FB4" w:rsidRDefault="00192188" w:rsidP="00192188">
      <w:pPr>
        <w:numPr>
          <w:ilvl w:val="0"/>
          <w:numId w:val="1"/>
        </w:numPr>
        <w:rPr>
          <w:color w:val="000000"/>
          <w:sz w:val="22"/>
          <w:szCs w:val="22"/>
        </w:rPr>
      </w:pPr>
      <w:r w:rsidRPr="00613FB4">
        <w:rPr>
          <w:color w:val="000000"/>
          <w:sz w:val="22"/>
          <w:szCs w:val="22"/>
        </w:rPr>
        <w:t>Identify, through participatory processes key issues within a</w:t>
      </w:r>
      <w:r>
        <w:rPr>
          <w:color w:val="000000"/>
          <w:sz w:val="22"/>
          <w:szCs w:val="22"/>
        </w:rPr>
        <w:t>n urban</w:t>
      </w:r>
      <w:r w:rsidRPr="00613FB4">
        <w:rPr>
          <w:color w:val="000000"/>
          <w:sz w:val="22"/>
          <w:szCs w:val="22"/>
        </w:rPr>
        <w:t xml:space="preserve"> community which can be addressed through an advocacy strategy</w:t>
      </w:r>
    </w:p>
    <w:p w:rsidR="00192188" w:rsidRPr="00613FB4" w:rsidRDefault="00192188" w:rsidP="00192188">
      <w:pPr>
        <w:numPr>
          <w:ilvl w:val="0"/>
          <w:numId w:val="1"/>
        </w:numPr>
        <w:rPr>
          <w:color w:val="000000"/>
          <w:sz w:val="22"/>
          <w:szCs w:val="22"/>
        </w:rPr>
      </w:pPr>
      <w:r w:rsidRPr="00613FB4">
        <w:rPr>
          <w:color w:val="000000"/>
          <w:sz w:val="22"/>
          <w:szCs w:val="22"/>
        </w:rPr>
        <w:t>Be able to work with a local community in identifying local needs</w:t>
      </w:r>
    </w:p>
    <w:p w:rsidR="00192188" w:rsidRPr="00613FB4" w:rsidRDefault="00192188" w:rsidP="00192188">
      <w:pPr>
        <w:numPr>
          <w:ilvl w:val="0"/>
          <w:numId w:val="1"/>
        </w:numPr>
        <w:rPr>
          <w:color w:val="000000"/>
          <w:sz w:val="22"/>
          <w:szCs w:val="22"/>
        </w:rPr>
      </w:pPr>
      <w:r w:rsidRPr="00613FB4">
        <w:rPr>
          <w:color w:val="000000"/>
          <w:sz w:val="22"/>
          <w:szCs w:val="22"/>
        </w:rPr>
        <w:t>Utilise advocacy tools to address a specific justice issues in a slum community.</w:t>
      </w:r>
    </w:p>
    <w:p w:rsidR="00192188" w:rsidRPr="00613FB4" w:rsidRDefault="00192188" w:rsidP="00192188">
      <w:pPr>
        <w:numPr>
          <w:ilvl w:val="0"/>
          <w:numId w:val="1"/>
        </w:numPr>
        <w:rPr>
          <w:color w:val="000000"/>
          <w:sz w:val="22"/>
          <w:szCs w:val="22"/>
        </w:rPr>
      </w:pPr>
      <w:r w:rsidRPr="00613FB4">
        <w:rPr>
          <w:color w:val="000000"/>
          <w:sz w:val="22"/>
          <w:szCs w:val="22"/>
        </w:rPr>
        <w:t>Promote the formation of advocacy network forums</w:t>
      </w:r>
    </w:p>
    <w:p w:rsidR="00192188" w:rsidRPr="00613FB4" w:rsidRDefault="00192188" w:rsidP="00192188">
      <w:pPr>
        <w:ind w:left="720"/>
        <w:rPr>
          <w:color w:val="000000"/>
          <w:sz w:val="22"/>
          <w:szCs w:val="22"/>
        </w:rPr>
      </w:pPr>
    </w:p>
    <w:p w:rsidR="00192188" w:rsidRPr="00613FB4" w:rsidRDefault="00192188" w:rsidP="00192188">
      <w:pPr>
        <w:ind w:left="720"/>
        <w:rPr>
          <w:b/>
          <w:color w:val="000000"/>
          <w:sz w:val="22"/>
          <w:szCs w:val="22"/>
        </w:rPr>
      </w:pPr>
      <w:r w:rsidRPr="00613FB4">
        <w:rPr>
          <w:b/>
          <w:color w:val="000000"/>
          <w:sz w:val="22"/>
          <w:szCs w:val="22"/>
        </w:rPr>
        <w:t>Course Content</w:t>
      </w:r>
    </w:p>
    <w:p w:rsidR="00192188" w:rsidRPr="00613FB4" w:rsidRDefault="00192188" w:rsidP="00192188">
      <w:pPr>
        <w:ind w:left="720"/>
        <w:rPr>
          <w:sz w:val="22"/>
          <w:szCs w:val="22"/>
        </w:rPr>
      </w:pPr>
      <w:r w:rsidRPr="00613FB4">
        <w:rPr>
          <w:b/>
          <w:color w:val="000000"/>
          <w:sz w:val="22"/>
          <w:szCs w:val="22"/>
        </w:rPr>
        <w:t xml:space="preserve"> </w:t>
      </w:r>
      <w:r w:rsidRPr="00613FB4">
        <w:rPr>
          <w:sz w:val="22"/>
          <w:szCs w:val="22"/>
        </w:rPr>
        <w:t>What is Advocacy and why use an advocacy intervention? Slums and Justice – identifying key issues; OT prophetic tradition and its relationship to advocacy; The advocacy cycle; Issue Identification</w:t>
      </w:r>
      <w:r>
        <w:rPr>
          <w:sz w:val="22"/>
          <w:szCs w:val="22"/>
        </w:rPr>
        <w:t xml:space="preserve"> in an urban context </w:t>
      </w:r>
      <w:r w:rsidRPr="00613FB4">
        <w:rPr>
          <w:sz w:val="22"/>
          <w:szCs w:val="22"/>
        </w:rPr>
        <w:t xml:space="preserve"> (a specific issue will be identified) ; Research and analysis; Justice and the law; Community based planning; Developing </w:t>
      </w:r>
      <w:r>
        <w:rPr>
          <w:sz w:val="22"/>
          <w:szCs w:val="22"/>
        </w:rPr>
        <w:t xml:space="preserve">urban </w:t>
      </w:r>
      <w:r w:rsidRPr="00613FB4">
        <w:rPr>
          <w:sz w:val="22"/>
          <w:szCs w:val="22"/>
        </w:rPr>
        <w:t>community based network forums; forms and methods of intervention; participatory evaluation processes.</w:t>
      </w:r>
    </w:p>
    <w:p w:rsidR="00192188" w:rsidRPr="00613FB4" w:rsidRDefault="00192188" w:rsidP="00192188">
      <w:pPr>
        <w:ind w:left="720"/>
        <w:rPr>
          <w:sz w:val="22"/>
          <w:szCs w:val="22"/>
        </w:rPr>
      </w:pPr>
    </w:p>
    <w:p w:rsidR="00192188" w:rsidRDefault="00192188" w:rsidP="00192188">
      <w:pPr>
        <w:ind w:left="720"/>
        <w:jc w:val="both"/>
        <w:rPr>
          <w:b/>
          <w:sz w:val="22"/>
          <w:szCs w:val="22"/>
        </w:rPr>
      </w:pPr>
      <w:r w:rsidRPr="00613FB4">
        <w:rPr>
          <w:b/>
          <w:sz w:val="22"/>
          <w:szCs w:val="22"/>
        </w:rPr>
        <w:t xml:space="preserve">Teaching methodology: </w:t>
      </w:r>
    </w:p>
    <w:p w:rsidR="00192188" w:rsidRPr="00613FB4" w:rsidRDefault="00192188" w:rsidP="00192188">
      <w:pPr>
        <w:ind w:left="720"/>
        <w:jc w:val="both"/>
        <w:rPr>
          <w:sz w:val="22"/>
          <w:szCs w:val="22"/>
        </w:rPr>
      </w:pPr>
      <w:r>
        <w:rPr>
          <w:sz w:val="22"/>
          <w:szCs w:val="22"/>
        </w:rPr>
        <w:t>This will include 14</w:t>
      </w:r>
      <w:r w:rsidRPr="00613FB4">
        <w:rPr>
          <w:sz w:val="22"/>
          <w:szCs w:val="22"/>
        </w:rPr>
        <w:t xml:space="preserve"> weeks of classroom based learning and a further 40 hours of mentored community involvement in a community based advocacy programme.  Classroom based learning will include discussions, exercises, videos; case studies; media; role plays; lectures. Active participation of all students is encouraged. </w:t>
      </w:r>
    </w:p>
    <w:p w:rsidR="00192188" w:rsidRPr="00613FB4" w:rsidRDefault="00192188" w:rsidP="00192188">
      <w:pPr>
        <w:pStyle w:val="HTMLPreformatted"/>
        <w:ind w:left="720"/>
        <w:rPr>
          <w:rFonts w:ascii="Times New Roman" w:hAnsi="Times New Roman"/>
          <w:b/>
          <w:sz w:val="22"/>
          <w:szCs w:val="22"/>
        </w:rPr>
      </w:pPr>
    </w:p>
    <w:p w:rsidR="00192188" w:rsidRDefault="00192188" w:rsidP="00192188">
      <w:pPr>
        <w:pStyle w:val="HTMLPreformatted"/>
        <w:ind w:left="720"/>
        <w:rPr>
          <w:rFonts w:ascii="Times New Roman" w:hAnsi="Times New Roman"/>
          <w:b/>
          <w:sz w:val="22"/>
          <w:szCs w:val="22"/>
        </w:rPr>
      </w:pPr>
      <w:r w:rsidRPr="00613FB4">
        <w:rPr>
          <w:rFonts w:ascii="Times New Roman" w:hAnsi="Times New Roman"/>
          <w:b/>
          <w:sz w:val="22"/>
          <w:szCs w:val="22"/>
        </w:rPr>
        <w:t xml:space="preserve">Instructional materials/equipment: </w:t>
      </w:r>
    </w:p>
    <w:p w:rsidR="00192188" w:rsidRPr="00613FB4" w:rsidRDefault="00192188" w:rsidP="00192188">
      <w:pPr>
        <w:pStyle w:val="HTMLPreformatted"/>
        <w:ind w:left="720"/>
        <w:rPr>
          <w:rFonts w:ascii="Times New Roman" w:hAnsi="Times New Roman"/>
          <w:sz w:val="22"/>
          <w:szCs w:val="22"/>
        </w:rPr>
      </w:pPr>
      <w:r w:rsidRPr="00613FB4">
        <w:rPr>
          <w:rFonts w:ascii="Times New Roman" w:hAnsi="Times New Roman"/>
          <w:sz w:val="22"/>
          <w:szCs w:val="22"/>
        </w:rPr>
        <w:t>White board markers, White board, LCD Projector, Lap top, Videos, Flip Charts, Posters, Newspaper cuttings</w:t>
      </w:r>
    </w:p>
    <w:p w:rsidR="00192188" w:rsidRPr="00613FB4" w:rsidRDefault="00192188" w:rsidP="00192188">
      <w:pPr>
        <w:pStyle w:val="HTMLPreformatted"/>
        <w:ind w:left="720"/>
        <w:rPr>
          <w:rFonts w:ascii="Times New Roman" w:hAnsi="Times New Roman"/>
          <w:sz w:val="22"/>
          <w:szCs w:val="22"/>
        </w:rPr>
      </w:pPr>
      <w:proofErr w:type="gramStart"/>
      <w:r w:rsidRPr="00613FB4">
        <w:rPr>
          <w:rFonts w:ascii="Times New Roman" w:hAnsi="Times New Roman"/>
          <w:sz w:val="22"/>
          <w:szCs w:val="22"/>
        </w:rPr>
        <w:t>journal</w:t>
      </w:r>
      <w:proofErr w:type="gramEnd"/>
      <w:r w:rsidRPr="00613FB4">
        <w:rPr>
          <w:rFonts w:ascii="Times New Roman" w:hAnsi="Times New Roman"/>
          <w:sz w:val="22"/>
          <w:szCs w:val="22"/>
        </w:rPr>
        <w:t xml:space="preserve"> and through a project design for an advocacy initiative within a community. </w:t>
      </w:r>
    </w:p>
    <w:p w:rsidR="00192188" w:rsidRPr="00613FB4" w:rsidRDefault="00192188" w:rsidP="00192188">
      <w:pPr>
        <w:pStyle w:val="HTMLPreformatted"/>
        <w:ind w:left="720"/>
        <w:rPr>
          <w:rFonts w:ascii="Times New Roman" w:hAnsi="Times New Roman"/>
          <w:sz w:val="22"/>
          <w:szCs w:val="22"/>
        </w:rPr>
      </w:pPr>
    </w:p>
    <w:p w:rsidR="00192188" w:rsidRPr="00613FB4" w:rsidRDefault="00192188" w:rsidP="00192188">
      <w:pPr>
        <w:pStyle w:val="HTMLPreformatted"/>
        <w:ind w:left="720"/>
        <w:rPr>
          <w:rFonts w:ascii="Times New Roman" w:hAnsi="Times New Roman"/>
          <w:b/>
          <w:sz w:val="22"/>
          <w:szCs w:val="22"/>
        </w:rPr>
      </w:pPr>
      <w:r>
        <w:rPr>
          <w:rFonts w:ascii="Times New Roman" w:hAnsi="Times New Roman"/>
          <w:b/>
          <w:sz w:val="22"/>
          <w:szCs w:val="22"/>
        </w:rPr>
        <w:br w:type="page"/>
      </w:r>
      <w:r w:rsidRPr="00613FB4">
        <w:rPr>
          <w:rFonts w:ascii="Times New Roman" w:hAnsi="Times New Roman"/>
          <w:b/>
          <w:sz w:val="22"/>
          <w:szCs w:val="22"/>
        </w:rPr>
        <w:t>Student Assessment</w:t>
      </w:r>
    </w:p>
    <w:p w:rsidR="00192188" w:rsidRPr="00613FB4" w:rsidRDefault="00192188" w:rsidP="00192188">
      <w:pPr>
        <w:pStyle w:val="p5"/>
        <w:spacing w:before="0" w:beforeAutospacing="0" w:after="0" w:afterAutospacing="0"/>
        <w:ind w:left="720"/>
        <w:jc w:val="both"/>
        <w:rPr>
          <w:sz w:val="22"/>
          <w:szCs w:val="22"/>
        </w:rPr>
      </w:pPr>
      <w:r w:rsidRPr="00613FB4">
        <w:rPr>
          <w:sz w:val="22"/>
          <w:szCs w:val="22"/>
        </w:rPr>
        <w:t>Through an essay of 3,000 words, a critical learning journal, and a project design demonstrating the processes and plans for a community based advocacy initiative. These projects will be part of the continuous assessment and will be marked out of 60 and the exam out of 40.</w:t>
      </w:r>
    </w:p>
    <w:p w:rsidR="00192188" w:rsidRPr="00613FB4" w:rsidRDefault="00192188" w:rsidP="00192188">
      <w:pPr>
        <w:pStyle w:val="p5"/>
        <w:spacing w:before="0" w:beforeAutospacing="0" w:after="0" w:afterAutospacing="0"/>
        <w:ind w:left="720"/>
        <w:jc w:val="both"/>
        <w:rPr>
          <w:sz w:val="22"/>
          <w:szCs w:val="22"/>
        </w:rPr>
      </w:pPr>
    </w:p>
    <w:p w:rsidR="00192188" w:rsidRPr="00613FB4" w:rsidRDefault="00192188" w:rsidP="00192188">
      <w:pPr>
        <w:pStyle w:val="p5"/>
        <w:spacing w:before="0" w:beforeAutospacing="0" w:after="0" w:afterAutospacing="0"/>
        <w:ind w:left="720"/>
        <w:jc w:val="both"/>
        <w:rPr>
          <w:b/>
          <w:sz w:val="22"/>
          <w:szCs w:val="22"/>
        </w:rPr>
      </w:pPr>
      <w:r w:rsidRPr="00613FB4">
        <w:rPr>
          <w:b/>
          <w:sz w:val="22"/>
          <w:szCs w:val="22"/>
        </w:rPr>
        <w:t>Core Texts</w:t>
      </w:r>
    </w:p>
    <w:p w:rsidR="00192188" w:rsidRPr="00613FB4" w:rsidRDefault="00517C06" w:rsidP="00192188">
      <w:pPr>
        <w:pStyle w:val="p5"/>
        <w:spacing w:before="0" w:beforeAutospacing="0" w:after="0" w:afterAutospacing="0"/>
        <w:ind w:left="720"/>
        <w:jc w:val="both"/>
        <w:rPr>
          <w:sz w:val="22"/>
          <w:szCs w:val="22"/>
        </w:rPr>
      </w:pPr>
      <w:hyperlink r:id="rId5" w:history="1">
        <w:r w:rsidR="00192188" w:rsidRPr="00613FB4">
          <w:rPr>
            <w:rStyle w:val="Hyperlink"/>
            <w:sz w:val="22"/>
            <w:szCs w:val="22"/>
          </w:rPr>
          <w:t xml:space="preserve">Development and </w:t>
        </w:r>
        <w:proofErr w:type="gramStart"/>
        <w:r w:rsidR="00192188" w:rsidRPr="00613FB4">
          <w:rPr>
            <w:rStyle w:val="Hyperlink"/>
            <w:sz w:val="22"/>
            <w:szCs w:val="22"/>
          </w:rPr>
          <w:t>advocacy :</w:t>
        </w:r>
        <w:proofErr w:type="gramEnd"/>
        <w:r w:rsidR="00192188" w:rsidRPr="00613FB4">
          <w:rPr>
            <w:rStyle w:val="Hyperlink"/>
            <w:sz w:val="22"/>
            <w:szCs w:val="22"/>
          </w:rPr>
          <w:t xml:space="preserve"> </w:t>
        </w:r>
      </w:hyperlink>
      <w:r w:rsidR="00192188" w:rsidRPr="00613FB4">
        <w:rPr>
          <w:sz w:val="22"/>
          <w:szCs w:val="22"/>
        </w:rPr>
        <w:t>selected essays from Development in practice / Oxfam, Oxford 2002</w:t>
      </w:r>
    </w:p>
    <w:p w:rsidR="00192188" w:rsidRPr="00613FB4" w:rsidRDefault="00192188" w:rsidP="00192188">
      <w:pPr>
        <w:pStyle w:val="p5"/>
        <w:spacing w:before="0" w:beforeAutospacing="0" w:after="0" w:afterAutospacing="0"/>
        <w:ind w:left="720"/>
        <w:jc w:val="both"/>
        <w:rPr>
          <w:b/>
          <w:sz w:val="22"/>
          <w:szCs w:val="22"/>
        </w:rPr>
      </w:pPr>
      <w:r w:rsidRPr="00613FB4">
        <w:rPr>
          <w:sz w:val="22"/>
          <w:szCs w:val="22"/>
        </w:rPr>
        <w:t xml:space="preserve">Gordon, Graham 2002 </w:t>
      </w:r>
      <w:r w:rsidRPr="00613FB4">
        <w:rPr>
          <w:i/>
          <w:sz w:val="22"/>
          <w:szCs w:val="22"/>
        </w:rPr>
        <w:t>Understanding Advocacy</w:t>
      </w:r>
      <w:r w:rsidRPr="00613FB4">
        <w:rPr>
          <w:sz w:val="22"/>
          <w:szCs w:val="22"/>
        </w:rPr>
        <w:t xml:space="preserve">. </w:t>
      </w:r>
      <w:proofErr w:type="spellStart"/>
      <w:r w:rsidRPr="00613FB4">
        <w:rPr>
          <w:sz w:val="22"/>
          <w:szCs w:val="22"/>
        </w:rPr>
        <w:t>Teddington</w:t>
      </w:r>
      <w:proofErr w:type="spellEnd"/>
      <w:r w:rsidRPr="00613FB4">
        <w:rPr>
          <w:sz w:val="22"/>
          <w:szCs w:val="22"/>
        </w:rPr>
        <w:t>: TEAR Fund</w:t>
      </w:r>
    </w:p>
    <w:p w:rsidR="00192188" w:rsidRPr="00613FB4" w:rsidRDefault="00192188" w:rsidP="00192188">
      <w:pPr>
        <w:pStyle w:val="p5"/>
        <w:spacing w:before="0" w:beforeAutospacing="0" w:after="0" w:afterAutospacing="0"/>
        <w:ind w:left="720"/>
        <w:jc w:val="both"/>
        <w:rPr>
          <w:sz w:val="22"/>
          <w:szCs w:val="22"/>
        </w:rPr>
      </w:pPr>
      <w:r w:rsidRPr="00613FB4">
        <w:rPr>
          <w:sz w:val="22"/>
          <w:szCs w:val="22"/>
        </w:rPr>
        <w:t xml:space="preserve">Gordon, Graham 2002 </w:t>
      </w:r>
      <w:r w:rsidRPr="00613FB4">
        <w:rPr>
          <w:i/>
          <w:sz w:val="22"/>
          <w:szCs w:val="22"/>
        </w:rPr>
        <w:t>Practical Action in Advocacy</w:t>
      </w:r>
      <w:r w:rsidRPr="00613FB4">
        <w:rPr>
          <w:sz w:val="22"/>
          <w:szCs w:val="22"/>
        </w:rPr>
        <w:t xml:space="preserve"> </w:t>
      </w:r>
      <w:proofErr w:type="spellStart"/>
      <w:r w:rsidRPr="00613FB4">
        <w:rPr>
          <w:sz w:val="22"/>
          <w:szCs w:val="22"/>
        </w:rPr>
        <w:t>Teddington</w:t>
      </w:r>
      <w:proofErr w:type="spellEnd"/>
      <w:r w:rsidRPr="00613FB4">
        <w:rPr>
          <w:sz w:val="22"/>
          <w:szCs w:val="22"/>
        </w:rPr>
        <w:t>: TEAR Fund</w:t>
      </w:r>
    </w:p>
    <w:p w:rsidR="00192188" w:rsidRPr="00613FB4" w:rsidRDefault="00192188" w:rsidP="00192188">
      <w:pPr>
        <w:pStyle w:val="p5"/>
        <w:spacing w:before="0" w:beforeAutospacing="0" w:after="0" w:afterAutospacing="0"/>
        <w:ind w:left="720"/>
        <w:jc w:val="both"/>
        <w:rPr>
          <w:sz w:val="22"/>
          <w:szCs w:val="22"/>
        </w:rPr>
      </w:pPr>
      <w:r w:rsidRPr="00613FB4">
        <w:rPr>
          <w:sz w:val="22"/>
          <w:szCs w:val="22"/>
        </w:rPr>
        <w:t xml:space="preserve">Linthicum, R 2005 </w:t>
      </w:r>
      <w:r w:rsidRPr="00613FB4">
        <w:rPr>
          <w:i/>
          <w:sz w:val="22"/>
          <w:szCs w:val="22"/>
        </w:rPr>
        <w:t>Building a People of Power</w:t>
      </w:r>
      <w:r w:rsidRPr="00613FB4">
        <w:rPr>
          <w:sz w:val="22"/>
          <w:szCs w:val="22"/>
        </w:rPr>
        <w:t xml:space="preserve"> World Vision</w:t>
      </w:r>
    </w:p>
    <w:p w:rsidR="00192188" w:rsidRPr="00613FB4" w:rsidRDefault="00192188" w:rsidP="00192188">
      <w:pPr>
        <w:pStyle w:val="p5"/>
        <w:spacing w:before="0" w:beforeAutospacing="0" w:after="0" w:afterAutospacing="0"/>
        <w:ind w:left="720"/>
        <w:jc w:val="both"/>
        <w:rPr>
          <w:b/>
          <w:sz w:val="22"/>
          <w:szCs w:val="22"/>
        </w:rPr>
      </w:pPr>
    </w:p>
    <w:p w:rsidR="00192188" w:rsidRPr="00923708" w:rsidRDefault="00192188" w:rsidP="00192188">
      <w:pPr>
        <w:pStyle w:val="p5"/>
        <w:spacing w:before="0" w:beforeAutospacing="0" w:after="0" w:afterAutospacing="0"/>
        <w:ind w:left="720"/>
        <w:jc w:val="both"/>
        <w:rPr>
          <w:b/>
          <w:i/>
          <w:sz w:val="22"/>
          <w:szCs w:val="22"/>
        </w:rPr>
      </w:pPr>
      <w:r w:rsidRPr="00923708">
        <w:rPr>
          <w:b/>
          <w:i/>
          <w:sz w:val="22"/>
          <w:szCs w:val="22"/>
        </w:rPr>
        <w:t>Further Reading</w:t>
      </w:r>
    </w:p>
    <w:p w:rsidR="00192188" w:rsidRPr="00613FB4" w:rsidRDefault="00192188" w:rsidP="00192188">
      <w:pPr>
        <w:pStyle w:val="p5"/>
        <w:spacing w:before="0" w:beforeAutospacing="0" w:after="0" w:afterAutospacing="0"/>
        <w:ind w:left="720"/>
        <w:jc w:val="both"/>
        <w:rPr>
          <w:b/>
          <w:sz w:val="22"/>
          <w:szCs w:val="22"/>
        </w:rPr>
      </w:pPr>
      <w:proofErr w:type="spellStart"/>
      <w:r w:rsidRPr="00613FB4">
        <w:rPr>
          <w:iCs/>
          <w:sz w:val="22"/>
          <w:szCs w:val="22"/>
        </w:rPr>
        <w:t>Bankoff</w:t>
      </w:r>
      <w:proofErr w:type="spellEnd"/>
      <w:r w:rsidRPr="00613FB4">
        <w:rPr>
          <w:iCs/>
          <w:sz w:val="22"/>
          <w:szCs w:val="22"/>
        </w:rPr>
        <w:t xml:space="preserve">, G., </w:t>
      </w:r>
      <w:proofErr w:type="spellStart"/>
      <w:r w:rsidRPr="00613FB4">
        <w:rPr>
          <w:iCs/>
          <w:sz w:val="22"/>
          <w:szCs w:val="22"/>
        </w:rPr>
        <w:t>Frerks</w:t>
      </w:r>
      <w:proofErr w:type="spellEnd"/>
      <w:r w:rsidRPr="00613FB4">
        <w:rPr>
          <w:iCs/>
          <w:sz w:val="22"/>
          <w:szCs w:val="22"/>
        </w:rPr>
        <w:t xml:space="preserve">, G., &amp; </w:t>
      </w:r>
      <w:proofErr w:type="spellStart"/>
      <w:r w:rsidRPr="00613FB4">
        <w:rPr>
          <w:iCs/>
          <w:sz w:val="22"/>
          <w:szCs w:val="22"/>
        </w:rPr>
        <w:t>Hilhorst</w:t>
      </w:r>
      <w:proofErr w:type="spellEnd"/>
      <w:r w:rsidRPr="00613FB4">
        <w:rPr>
          <w:iCs/>
          <w:sz w:val="22"/>
          <w:szCs w:val="22"/>
        </w:rPr>
        <w:t xml:space="preserve">, D. (2004). </w:t>
      </w:r>
      <w:r w:rsidRPr="00613FB4">
        <w:rPr>
          <w:i/>
          <w:iCs/>
          <w:sz w:val="22"/>
          <w:szCs w:val="22"/>
        </w:rPr>
        <w:t>Mapping Vulnerability: Disasters, Development, and People</w:t>
      </w:r>
      <w:r w:rsidRPr="00613FB4">
        <w:rPr>
          <w:sz w:val="22"/>
          <w:szCs w:val="22"/>
        </w:rPr>
        <w:t xml:space="preserve">. </w:t>
      </w:r>
      <w:proofErr w:type="spellStart"/>
      <w:r w:rsidRPr="00613FB4">
        <w:rPr>
          <w:sz w:val="22"/>
          <w:szCs w:val="22"/>
        </w:rPr>
        <w:t>Earthscan</w:t>
      </w:r>
      <w:proofErr w:type="spellEnd"/>
      <w:r w:rsidRPr="00613FB4">
        <w:rPr>
          <w:sz w:val="22"/>
          <w:szCs w:val="22"/>
        </w:rPr>
        <w:t xml:space="preserve"> Publications.</w:t>
      </w:r>
    </w:p>
    <w:p w:rsidR="00192188" w:rsidRPr="00613FB4" w:rsidRDefault="00192188" w:rsidP="00192188">
      <w:pPr>
        <w:pStyle w:val="p5"/>
        <w:spacing w:before="0" w:beforeAutospacing="0" w:after="0" w:afterAutospacing="0"/>
        <w:ind w:left="720"/>
        <w:jc w:val="both"/>
        <w:rPr>
          <w:sz w:val="22"/>
          <w:szCs w:val="22"/>
        </w:rPr>
      </w:pPr>
      <w:r w:rsidRPr="00613FB4">
        <w:rPr>
          <w:sz w:val="22"/>
          <w:szCs w:val="22"/>
        </w:rPr>
        <w:t>De Beer, S 1998 Understanding Urban Systems and Powers. Pretoria: IUM</w:t>
      </w:r>
    </w:p>
    <w:p w:rsidR="00192188" w:rsidRPr="00613FB4" w:rsidRDefault="00192188" w:rsidP="00192188">
      <w:pPr>
        <w:ind w:left="1080" w:hanging="360"/>
        <w:rPr>
          <w:sz w:val="22"/>
          <w:szCs w:val="22"/>
        </w:rPr>
      </w:pPr>
      <w:proofErr w:type="gramStart"/>
      <w:r w:rsidRPr="00613FB4">
        <w:rPr>
          <w:bCs/>
          <w:sz w:val="22"/>
          <w:szCs w:val="22"/>
        </w:rPr>
        <w:t>Durand-</w:t>
      </w:r>
      <w:proofErr w:type="spellStart"/>
      <w:r w:rsidRPr="00613FB4">
        <w:rPr>
          <w:bCs/>
          <w:sz w:val="22"/>
          <w:szCs w:val="22"/>
        </w:rPr>
        <w:t>Lasserve</w:t>
      </w:r>
      <w:proofErr w:type="spellEnd"/>
      <w:r w:rsidRPr="00613FB4">
        <w:rPr>
          <w:bCs/>
          <w:sz w:val="22"/>
          <w:szCs w:val="22"/>
        </w:rPr>
        <w:t>, Alain, Royston, Lauren</w:t>
      </w:r>
      <w:r w:rsidRPr="00613FB4">
        <w:rPr>
          <w:sz w:val="22"/>
          <w:szCs w:val="22"/>
        </w:rPr>
        <w:t xml:space="preserve"> (</w:t>
      </w:r>
      <w:proofErr w:type="spellStart"/>
      <w:r w:rsidRPr="00613FB4">
        <w:rPr>
          <w:sz w:val="22"/>
          <w:szCs w:val="22"/>
        </w:rPr>
        <w:t>eds</w:t>
      </w:r>
      <w:proofErr w:type="spellEnd"/>
      <w:r w:rsidRPr="00613FB4">
        <w:rPr>
          <w:sz w:val="22"/>
          <w:szCs w:val="22"/>
        </w:rPr>
        <w:t>), 2002.</w:t>
      </w:r>
      <w:proofErr w:type="gramEnd"/>
      <w:r w:rsidRPr="00613FB4">
        <w:rPr>
          <w:sz w:val="22"/>
          <w:szCs w:val="22"/>
        </w:rPr>
        <w:t xml:space="preserve"> </w:t>
      </w:r>
      <w:r w:rsidRPr="00613FB4">
        <w:rPr>
          <w:i/>
          <w:iCs/>
          <w:sz w:val="22"/>
          <w:szCs w:val="22"/>
        </w:rPr>
        <w:t xml:space="preserve">Holding their ground. Secure tenure for the urban poor in developing countries. </w:t>
      </w:r>
      <w:r w:rsidRPr="00613FB4">
        <w:rPr>
          <w:sz w:val="22"/>
          <w:szCs w:val="22"/>
        </w:rPr>
        <w:t xml:space="preserve">London: </w:t>
      </w:r>
      <w:proofErr w:type="spellStart"/>
      <w:r w:rsidRPr="00613FB4">
        <w:rPr>
          <w:sz w:val="22"/>
          <w:szCs w:val="22"/>
        </w:rPr>
        <w:t>Earthscan</w:t>
      </w:r>
      <w:proofErr w:type="spellEnd"/>
      <w:r w:rsidRPr="00613FB4">
        <w:rPr>
          <w:sz w:val="22"/>
          <w:szCs w:val="22"/>
        </w:rPr>
        <w:t>.</w:t>
      </w:r>
    </w:p>
    <w:p w:rsidR="00192188" w:rsidRPr="00613FB4" w:rsidRDefault="00192188" w:rsidP="00192188">
      <w:pPr>
        <w:ind w:left="720"/>
        <w:rPr>
          <w:sz w:val="22"/>
          <w:szCs w:val="22"/>
        </w:rPr>
      </w:pPr>
      <w:proofErr w:type="gramStart"/>
      <w:r w:rsidRPr="00613FB4">
        <w:rPr>
          <w:sz w:val="22"/>
          <w:szCs w:val="22"/>
        </w:rPr>
        <w:t>Grigg, V. (2006).</w:t>
      </w:r>
      <w:proofErr w:type="gramEnd"/>
      <w:r w:rsidRPr="00613FB4">
        <w:rPr>
          <w:sz w:val="22"/>
          <w:szCs w:val="22"/>
        </w:rPr>
        <w:t xml:space="preserve"> </w:t>
      </w:r>
      <w:proofErr w:type="gramStart"/>
      <w:r w:rsidRPr="00613FB4">
        <w:rPr>
          <w:i/>
          <w:iCs/>
          <w:sz w:val="22"/>
          <w:szCs w:val="22"/>
        </w:rPr>
        <w:t>Biblical reflection on land and land rights</w:t>
      </w:r>
      <w:r w:rsidRPr="00613FB4">
        <w:rPr>
          <w:sz w:val="22"/>
          <w:szCs w:val="22"/>
        </w:rPr>
        <w:t>.</w:t>
      </w:r>
      <w:proofErr w:type="gramEnd"/>
      <w:r w:rsidRPr="00613FB4">
        <w:rPr>
          <w:sz w:val="22"/>
          <w:szCs w:val="22"/>
        </w:rPr>
        <w:t xml:space="preserve"> Auckland: Urban Leadership Foundation.</w:t>
      </w:r>
    </w:p>
    <w:p w:rsidR="00192188" w:rsidRPr="00613FB4" w:rsidRDefault="00192188" w:rsidP="00192188">
      <w:pPr>
        <w:ind w:left="720"/>
        <w:rPr>
          <w:sz w:val="22"/>
          <w:szCs w:val="22"/>
        </w:rPr>
      </w:pPr>
      <w:proofErr w:type="spellStart"/>
      <w:proofErr w:type="gramStart"/>
      <w:r w:rsidRPr="00613FB4">
        <w:rPr>
          <w:bCs/>
          <w:sz w:val="22"/>
          <w:szCs w:val="22"/>
        </w:rPr>
        <w:t>Kreibich</w:t>
      </w:r>
      <w:proofErr w:type="spellEnd"/>
      <w:r w:rsidRPr="00613FB4">
        <w:rPr>
          <w:bCs/>
          <w:sz w:val="22"/>
          <w:szCs w:val="22"/>
        </w:rPr>
        <w:t xml:space="preserve">, Volker; </w:t>
      </w:r>
      <w:proofErr w:type="spellStart"/>
      <w:r w:rsidRPr="00613FB4">
        <w:rPr>
          <w:bCs/>
          <w:sz w:val="22"/>
          <w:szCs w:val="22"/>
        </w:rPr>
        <w:t>Olima</w:t>
      </w:r>
      <w:proofErr w:type="spellEnd"/>
      <w:r w:rsidRPr="00613FB4">
        <w:rPr>
          <w:bCs/>
          <w:sz w:val="22"/>
          <w:szCs w:val="22"/>
        </w:rPr>
        <w:t>, Washington,</w:t>
      </w:r>
      <w:r w:rsidRPr="00613FB4">
        <w:rPr>
          <w:sz w:val="22"/>
          <w:szCs w:val="22"/>
        </w:rPr>
        <w:t xml:space="preserve"> (</w:t>
      </w:r>
      <w:proofErr w:type="spellStart"/>
      <w:r w:rsidRPr="00613FB4">
        <w:rPr>
          <w:sz w:val="22"/>
          <w:szCs w:val="22"/>
        </w:rPr>
        <w:t>eds</w:t>
      </w:r>
      <w:proofErr w:type="spellEnd"/>
      <w:r w:rsidRPr="00613FB4">
        <w:rPr>
          <w:sz w:val="22"/>
          <w:szCs w:val="22"/>
        </w:rPr>
        <w:t>), 2002.</w:t>
      </w:r>
      <w:proofErr w:type="gramEnd"/>
      <w:r w:rsidRPr="00613FB4">
        <w:rPr>
          <w:sz w:val="22"/>
          <w:szCs w:val="22"/>
        </w:rPr>
        <w:t xml:space="preserve"> </w:t>
      </w:r>
      <w:proofErr w:type="gramStart"/>
      <w:r w:rsidRPr="00613FB4">
        <w:rPr>
          <w:i/>
          <w:iCs/>
          <w:sz w:val="22"/>
          <w:szCs w:val="22"/>
        </w:rPr>
        <w:t>Urban land management in Africa.</w:t>
      </w:r>
      <w:proofErr w:type="gramEnd"/>
      <w:r w:rsidRPr="00613FB4">
        <w:rPr>
          <w:sz w:val="22"/>
          <w:szCs w:val="22"/>
        </w:rPr>
        <w:t xml:space="preserve"> Dortmund: Spring (University). </w:t>
      </w:r>
    </w:p>
    <w:p w:rsidR="00192188" w:rsidRPr="00613FB4" w:rsidRDefault="00192188" w:rsidP="00192188">
      <w:pPr>
        <w:pStyle w:val="p5"/>
        <w:spacing w:before="0" w:beforeAutospacing="0" w:after="0" w:afterAutospacing="0"/>
        <w:ind w:left="720"/>
        <w:jc w:val="both"/>
        <w:rPr>
          <w:sz w:val="22"/>
          <w:szCs w:val="22"/>
          <w:lang/>
        </w:rPr>
      </w:pPr>
      <w:r w:rsidRPr="00613FB4">
        <w:rPr>
          <w:sz w:val="22"/>
          <w:szCs w:val="22"/>
          <w:lang/>
        </w:rPr>
        <w:t xml:space="preserve">Nguti, Elizaphan 2010 </w:t>
      </w:r>
      <w:r w:rsidRPr="00613FB4">
        <w:rPr>
          <w:i/>
          <w:sz w:val="22"/>
          <w:szCs w:val="22"/>
          <w:lang/>
        </w:rPr>
        <w:t>Understanding Project Monitoring and Evaluation</w:t>
      </w:r>
      <w:r w:rsidRPr="00613FB4">
        <w:rPr>
          <w:sz w:val="22"/>
          <w:szCs w:val="22"/>
          <w:lang/>
        </w:rPr>
        <w:t>. Nairobi Ekon Publishers</w:t>
      </w:r>
    </w:p>
    <w:p w:rsidR="00192188" w:rsidRPr="00613FB4" w:rsidRDefault="00192188" w:rsidP="00192188">
      <w:pPr>
        <w:ind w:left="1080" w:hanging="360"/>
        <w:rPr>
          <w:sz w:val="22"/>
          <w:szCs w:val="22"/>
        </w:rPr>
      </w:pPr>
      <w:r w:rsidRPr="00613FB4">
        <w:rPr>
          <w:sz w:val="22"/>
          <w:szCs w:val="22"/>
          <w:lang w:val="it-IT"/>
        </w:rPr>
        <w:t xml:space="preserve">Payne, Geoffrey (ed.), 2002a. </w:t>
      </w:r>
      <w:proofErr w:type="gramStart"/>
      <w:r w:rsidRPr="00613FB4">
        <w:rPr>
          <w:i/>
          <w:iCs/>
          <w:sz w:val="22"/>
          <w:szCs w:val="22"/>
        </w:rPr>
        <w:t>Land, rights and innovation.</w:t>
      </w:r>
      <w:proofErr w:type="gramEnd"/>
      <w:r w:rsidRPr="00613FB4">
        <w:rPr>
          <w:i/>
          <w:iCs/>
          <w:sz w:val="22"/>
          <w:szCs w:val="22"/>
        </w:rPr>
        <w:t xml:space="preserve"> Improving tenure security for the urban poor. London</w:t>
      </w:r>
      <w:r w:rsidRPr="00613FB4">
        <w:rPr>
          <w:sz w:val="22"/>
          <w:szCs w:val="22"/>
        </w:rPr>
        <w:t xml:space="preserve">: IDTG. </w:t>
      </w:r>
    </w:p>
    <w:p w:rsidR="00192188" w:rsidRPr="00613FB4" w:rsidRDefault="00192188" w:rsidP="00192188">
      <w:pPr>
        <w:pStyle w:val="p5"/>
        <w:spacing w:before="0" w:beforeAutospacing="0" w:after="0" w:afterAutospacing="0"/>
        <w:ind w:left="720"/>
        <w:jc w:val="both"/>
        <w:rPr>
          <w:sz w:val="22"/>
          <w:szCs w:val="22"/>
        </w:rPr>
      </w:pPr>
      <w:proofErr w:type="spellStart"/>
      <w:r w:rsidRPr="00613FB4">
        <w:rPr>
          <w:sz w:val="22"/>
          <w:szCs w:val="22"/>
        </w:rPr>
        <w:t>Peet</w:t>
      </w:r>
      <w:proofErr w:type="spellEnd"/>
      <w:r w:rsidRPr="00613FB4">
        <w:rPr>
          <w:sz w:val="22"/>
          <w:szCs w:val="22"/>
        </w:rPr>
        <w:t xml:space="preserve">, R., &amp; Watts, M. (Eds.). (2004). </w:t>
      </w:r>
      <w:r w:rsidRPr="00613FB4">
        <w:rPr>
          <w:i/>
          <w:sz w:val="22"/>
          <w:szCs w:val="22"/>
        </w:rPr>
        <w:t>Liberation ecologies: Environment, development, and social movements</w:t>
      </w:r>
      <w:r w:rsidRPr="00613FB4">
        <w:rPr>
          <w:sz w:val="22"/>
          <w:szCs w:val="22"/>
        </w:rPr>
        <w:t xml:space="preserve">. </w:t>
      </w:r>
      <w:proofErr w:type="spellStart"/>
      <w:r w:rsidRPr="00613FB4">
        <w:rPr>
          <w:sz w:val="22"/>
          <w:szCs w:val="22"/>
        </w:rPr>
        <w:t>Routledge</w:t>
      </w:r>
      <w:proofErr w:type="spellEnd"/>
    </w:p>
    <w:p w:rsidR="00192188" w:rsidRPr="00613FB4" w:rsidRDefault="00192188" w:rsidP="00192188">
      <w:pPr>
        <w:pStyle w:val="p5"/>
        <w:spacing w:before="0" w:beforeAutospacing="0" w:after="0" w:afterAutospacing="0"/>
        <w:ind w:left="720"/>
        <w:jc w:val="both"/>
        <w:rPr>
          <w:sz w:val="22"/>
          <w:szCs w:val="22"/>
          <w:lang/>
        </w:rPr>
      </w:pPr>
      <w:r w:rsidRPr="00613FB4">
        <w:rPr>
          <w:sz w:val="22"/>
          <w:szCs w:val="22"/>
          <w:lang/>
        </w:rPr>
        <w:t xml:space="preserve">Smith, D.A. (1996). </w:t>
      </w:r>
      <w:r w:rsidRPr="00613FB4">
        <w:rPr>
          <w:i/>
          <w:sz w:val="22"/>
          <w:szCs w:val="22"/>
          <w:lang/>
        </w:rPr>
        <w:t>Third world cities in global perspective. The political economy of uneven urbanization.</w:t>
      </w:r>
      <w:r w:rsidRPr="00613FB4">
        <w:rPr>
          <w:sz w:val="22"/>
          <w:szCs w:val="22"/>
          <w:lang/>
        </w:rPr>
        <w:t xml:space="preserve"> Westview Press.</w:t>
      </w:r>
    </w:p>
    <w:p w:rsidR="00192188" w:rsidRPr="00613FB4" w:rsidRDefault="00192188" w:rsidP="00192188">
      <w:pPr>
        <w:pStyle w:val="p5"/>
        <w:spacing w:before="0" w:beforeAutospacing="0" w:after="0" w:afterAutospacing="0"/>
        <w:ind w:left="720"/>
        <w:jc w:val="both"/>
        <w:rPr>
          <w:sz w:val="22"/>
          <w:szCs w:val="22"/>
        </w:rPr>
      </w:pPr>
      <w:r w:rsidRPr="00613FB4">
        <w:rPr>
          <w:sz w:val="22"/>
          <w:szCs w:val="22"/>
          <w:lang/>
        </w:rPr>
        <w:t xml:space="preserve">Nguti, Elizaphan 2010 </w:t>
      </w:r>
      <w:r w:rsidRPr="00613FB4">
        <w:rPr>
          <w:i/>
          <w:sz w:val="22"/>
          <w:szCs w:val="22"/>
          <w:lang/>
        </w:rPr>
        <w:t>Understanding Project Monitoring and Evaluation</w:t>
      </w:r>
      <w:r w:rsidRPr="00613FB4">
        <w:rPr>
          <w:sz w:val="22"/>
          <w:szCs w:val="22"/>
          <w:lang/>
        </w:rPr>
        <w:t>. Nairobi Ekon Publishers</w:t>
      </w:r>
    </w:p>
    <w:p w:rsidR="00CF23BC" w:rsidRDefault="00CF23BC">
      <w:bookmarkStart w:id="0" w:name="_GoBack"/>
      <w:bookmarkEnd w:id="0"/>
    </w:p>
    <w:p w:rsidR="00CF23BC" w:rsidRDefault="00CF23BC"/>
    <w:p w:rsidR="00CF23BC" w:rsidRDefault="00CF23BC"/>
    <w:p w:rsidR="00CF23BC" w:rsidRDefault="00CF23BC"/>
    <w:p w:rsidR="00CF23BC" w:rsidRDefault="00CF23BC"/>
    <w:p w:rsidR="00CF23BC" w:rsidRDefault="00CF23BC"/>
    <w:p w:rsidR="00CF23BC" w:rsidRDefault="00CF23BC"/>
    <w:p w:rsidR="00CF23BC" w:rsidRDefault="00CF23BC"/>
    <w:p w:rsidR="00CF23BC" w:rsidRDefault="00CF23BC"/>
    <w:p w:rsidR="00CF23BC" w:rsidRDefault="00CF23BC"/>
    <w:p w:rsidR="00CF23BC" w:rsidRDefault="00CF23BC"/>
    <w:p w:rsidR="00CF23BC" w:rsidRDefault="00CF23BC"/>
    <w:p w:rsidR="00CF23BC" w:rsidRDefault="00CF23BC"/>
    <w:p w:rsidR="00CF23BC" w:rsidRDefault="00CF23BC"/>
    <w:p w:rsidR="00CF23BC" w:rsidRDefault="00CF23BC"/>
    <w:p w:rsidR="00CF23BC" w:rsidRDefault="00CF23BC"/>
    <w:p w:rsidR="00CF23BC" w:rsidRDefault="00CF23BC"/>
    <w:p w:rsidR="00CF23BC" w:rsidRDefault="00CF23BC"/>
    <w:p w:rsidR="00CF23BC" w:rsidRDefault="00CF23BC"/>
    <w:p w:rsidR="00CF23BC" w:rsidRDefault="00CF23BC"/>
    <w:p w:rsidR="000F58EC" w:rsidRDefault="000F58EC"/>
    <w:sectPr w:rsidR="000F58EC" w:rsidSect="00517C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952A04"/>
    <w:multiLevelType w:val="hybridMultilevel"/>
    <w:tmpl w:val="16C284BA"/>
    <w:lvl w:ilvl="0" w:tplc="440AA700">
      <w:start w:val="1"/>
      <w:numFmt w:val="decimal"/>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compat/>
  <w:rsids>
    <w:rsidRoot w:val="00192188"/>
    <w:rsid w:val="000F58EC"/>
    <w:rsid w:val="00192188"/>
    <w:rsid w:val="002D7ADA"/>
    <w:rsid w:val="00517C06"/>
    <w:rsid w:val="00CF23BC"/>
  </w:rsids>
  <m:mathPr>
    <m:mathFont m:val="Corbel"/>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1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192188"/>
    <w:rPr>
      <w:color w:val="0000FF"/>
      <w:u w:val="single"/>
    </w:rPr>
  </w:style>
  <w:style w:type="paragraph" w:customStyle="1" w:styleId="p5">
    <w:name w:val="p5"/>
    <w:basedOn w:val="Normal"/>
    <w:rsid w:val="00192188"/>
    <w:pPr>
      <w:spacing w:before="100" w:beforeAutospacing="1" w:after="100" w:afterAutospacing="1"/>
    </w:pPr>
    <w:rPr>
      <w:lang w:val="en-US"/>
    </w:rPr>
  </w:style>
  <w:style w:type="paragraph" w:styleId="HTMLPreformatted">
    <w:name w:val="HTML Preformatted"/>
    <w:basedOn w:val="Normal"/>
    <w:link w:val="HTMLPreformattedChar"/>
    <w:rsid w:val="0019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rPr>
  </w:style>
  <w:style w:type="character" w:customStyle="1" w:styleId="HTMLPreformattedChar">
    <w:name w:val="HTML Preformatted Char"/>
    <w:basedOn w:val="DefaultParagraphFont"/>
    <w:link w:val="HTMLPreformatted"/>
    <w:rsid w:val="00192188"/>
    <w:rPr>
      <w:rFonts w:ascii="Arial Unicode MS" w:eastAsia="Arial Unicode MS" w:hAnsi="Arial Unicode MS"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1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2188"/>
    <w:rPr>
      <w:color w:val="0000FF"/>
      <w:u w:val="single"/>
    </w:rPr>
  </w:style>
  <w:style w:type="paragraph" w:customStyle="1" w:styleId="p5">
    <w:name w:val="p5"/>
    <w:basedOn w:val="Normal"/>
    <w:rsid w:val="00192188"/>
    <w:pPr>
      <w:spacing w:before="100" w:beforeAutospacing="1" w:after="100" w:afterAutospacing="1"/>
    </w:pPr>
    <w:rPr>
      <w:lang w:val="en-US"/>
    </w:rPr>
  </w:style>
  <w:style w:type="paragraph" w:styleId="HTMLPreformatted">
    <w:name w:val="HTML Preformatted"/>
    <w:basedOn w:val="Normal"/>
    <w:link w:val="HTMLPreformattedChar"/>
    <w:rsid w:val="0019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rPr>
  </w:style>
  <w:style w:type="character" w:customStyle="1" w:styleId="HTMLPreformattedChar">
    <w:name w:val="HTML Preformatted Char"/>
    <w:basedOn w:val="DefaultParagraphFont"/>
    <w:link w:val="HTMLPreformatted"/>
    <w:rsid w:val="00192188"/>
    <w:rPr>
      <w:rFonts w:ascii="Arial Unicode MS" w:eastAsia="Arial Unicode MS" w:hAnsi="Arial Unicode MS"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4" Type="http://schemas.openxmlformats.org/officeDocument/2006/relationships/webSettings" Target="webSettings.xml"/><Relationship Id="rId5" Type="http://schemas.openxmlformats.org/officeDocument/2006/relationships/hyperlink" Target="http://192.168.1.173:8080/cgi-bin/koha/catalogue/detail.pl?biblionumber=35312" TargetMode="Externa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3752</Characters>
  <Application>Microsoft Macintosh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Viv Grigg</cp:lastModifiedBy>
  <cp:revision>2</cp:revision>
  <dcterms:created xsi:type="dcterms:W3CDTF">2012-05-04T08:16:00Z</dcterms:created>
  <dcterms:modified xsi:type="dcterms:W3CDTF">2012-05-09T17:27:00Z</dcterms:modified>
</cp:coreProperties>
</file>